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27"/>
        <w:jc w:val="right"/>
      </w:pPr>
      <w:r>
        <w:rPr>
          <w:sz w:val="22"/>
        </w:rPr>
        <w:t xml:space="preserve">Приложение № 1 к приглашению к участию</w:t>
      </w:r>
      <w:r>
        <w:rPr>
          <w:sz w:val="22"/>
        </w:rPr>
      </w:r>
      <w:r/>
    </w:p>
    <w:p>
      <w:pPr>
        <w:pStyle w:val="827"/>
        <w:jc w:val="right"/>
        <w:spacing w:lineRule="auto" w:line="480"/>
      </w:pPr>
      <w:r>
        <w:rPr>
          <w:sz w:val="22"/>
        </w:rPr>
        <w:t xml:space="preserve">в закупке способом сравнения цен</w:t>
      </w:r>
      <w:r>
        <w:rPr>
          <w:sz w:val="22"/>
        </w:rPr>
      </w:r>
      <w:r/>
    </w:p>
    <w:p>
      <w:pPr>
        <w:pStyle w:val="827"/>
        <w:jc w:val="right"/>
        <w:spacing w:lineRule="auto" w:line="480"/>
      </w:pPr>
      <w:r>
        <w:rPr>
          <w:sz w:val="22"/>
        </w:rPr>
        <w:t xml:space="preserve">№ЮЭС /63 /   </w:t>
      </w:r>
      <w:r>
        <w:rPr>
          <w:sz w:val="22"/>
        </w:rPr>
        <w:t xml:space="preserve"> </w:t>
      </w:r>
      <w:r>
        <w:rPr>
          <w:sz w:val="22"/>
        </w:rPr>
        <w:t xml:space="preserve">  от 28</w:t>
      </w:r>
      <w:r>
        <w:rPr>
          <w:sz w:val="22"/>
        </w:rPr>
        <w:t xml:space="preserve">.</w:t>
      </w:r>
      <w:r>
        <w:rPr>
          <w:sz w:val="22"/>
        </w:rPr>
        <w:t xml:space="preserve">07</w:t>
      </w:r>
      <w:r>
        <w:rPr>
          <w:sz w:val="22"/>
        </w:rPr>
        <w:t xml:space="preserve">.</w:t>
      </w:r>
      <w:r>
        <w:rPr>
          <w:sz w:val="22"/>
        </w:rPr>
        <w:t xml:space="preserve">2026</w:t>
      </w:r>
      <w:r>
        <w:rPr>
          <w:sz w:val="22"/>
        </w:rPr>
        <w:t xml:space="preserve"> г. </w:t>
      </w:r>
      <w:r>
        <w:rPr>
          <w:sz w:val="22"/>
        </w:rPr>
      </w:r>
      <w:r/>
    </w:p>
    <w:p>
      <w:pPr>
        <w:pStyle w:val="827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/>
    </w:p>
    <w:p>
      <w:pPr>
        <w:pStyle w:val="827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Количество и </w:t>
      </w:r>
      <w:r>
        <w:rPr>
          <w:b/>
          <w:color w:val="000000"/>
          <w:sz w:val="24"/>
          <w:szCs w:val="24"/>
        </w:rPr>
        <w:t xml:space="preserve">ассортимент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поставляемого товара</w:t>
      </w:r>
      <w:r>
        <w:rPr>
          <w:b/>
          <w:sz w:val="24"/>
          <w:szCs w:val="24"/>
        </w:rPr>
        <w:t xml:space="preserve"> </w:t>
      </w:r>
      <w:r/>
    </w:p>
    <w:p>
      <w:pPr>
        <w:spacing w:after="0"/>
      </w:pPr>
      <w:r/>
      <w:r/>
    </w:p>
    <w:tbl>
      <w:tblPr>
        <w:tblW w:w="9840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51"/>
        <w:gridCol w:w="2095"/>
        <w:gridCol w:w="1384"/>
        <w:gridCol w:w="604"/>
        <w:gridCol w:w="995"/>
        <w:gridCol w:w="1180"/>
        <w:gridCol w:w="1270"/>
        <w:gridCol w:w="1761"/>
      </w:tblGrid>
      <w:tr>
        <w:trPr>
          <w:cantSplit/>
          <w:trHeight w:val="408"/>
          <w:tblHeader/>
        </w:trPr>
        <w:tc>
          <w:tcPr>
            <w:shd w:val="clear" w:fill="FFFFFF" w:color="FFFFFF"/>
            <w:tcW w:w="5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№ п\п</w:t>
            </w:r>
            <w:r/>
          </w:p>
        </w:tc>
        <w:tc>
          <w:tcPr>
            <w:shd w:val="clear" w:fill="FFFFFF" w:color="FFFFFF"/>
            <w:tcW w:w="2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Наименование товара по заявке Покупателя</w:t>
            </w:r>
            <w:r/>
          </w:p>
        </w:tc>
        <w:tc>
          <w:tcPr>
            <w:shd w:val="clear" w:fill="FFFFFF" w:color="FFFFFF"/>
            <w:tcW w:w="138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Код ОКПД 2</w:t>
            </w:r>
            <w:r/>
          </w:p>
        </w:tc>
        <w:tc>
          <w:tcPr>
            <w:shd w:val="clear" w:fill="FFFFFF" w:color="FFFFFF"/>
            <w:tcW w:w="60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Ед. </w:t>
            </w: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изм</w:t>
            </w:r>
            <w:r/>
          </w:p>
        </w:tc>
        <w:tc>
          <w:tcPr>
            <w:shd w:val="clear" w:fill="FFFFFF" w:color="FFFFFF"/>
            <w:tcW w:w="9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Кол-во</w:t>
            </w:r>
            <w:r/>
          </w:p>
        </w:tc>
        <w:tc>
          <w:tcPr>
            <w:shd w:val="clear" w:fill="FFFFFF" w:color="FFFFFF"/>
            <w:tcW w:w="118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Цена за ед. в руб. без  НДС </w:t>
            </w:r>
            <w:r/>
          </w:p>
        </w:tc>
        <w:tc>
          <w:tcPr>
            <w:shd w:val="clear" w:fill="FFFFFF" w:color="FFFFFF"/>
            <w:tcW w:w="127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Общая сумма с учетом НДС 22%</w:t>
            </w:r>
            <w:r/>
          </w:p>
        </w:tc>
        <w:tc>
          <w:tcPr>
            <w:shd w:val="clear" w:fill="FFFFFF" w:color="FFFFFF"/>
            <w:tcW w:w="176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Адрес доставки</w:t>
            </w:r>
            <w:r/>
          </w:p>
        </w:tc>
      </w:tr>
      <w:tr>
        <w:trPr>
          <w:trHeight w:val="576"/>
        </w:trPr>
        <w:tc>
          <w:tcPr>
            <w:shd w:val="clear" w:fill="FFFFFF" w:color="FFFFFF"/>
            <w:tcW w:w="551" w:type="dxa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FFFFFF"/>
            <w:tcW w:w="209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  <w:t xml:space="preserve">Память оперативная DDR4 16GB SO-DIMM ТМИ ЦРМП.467526.007-03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384" w:type="dxa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  <w:t xml:space="preserve">26.20.22.1</w:t>
            </w:r>
            <w:r>
              <w:rPr>
                <w:rFonts w:ascii="Arial" w:hAnsi="Arial" w:cs="Arial" w:eastAsia="Times New Roman"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FFFFFF" w:color="FFFFFF"/>
            <w:tcW w:w="604" w:type="dxa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995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 w:eastAsia="Times New Roman"/>
                <w:sz w:val="20"/>
                <w:szCs w:val="20"/>
                <w:lang w:val="en-US"/>
              </w:rPr>
              <w:t xml:space="preserve">29</w:t>
            </w:r>
            <w:r/>
          </w:p>
        </w:tc>
        <w:tc>
          <w:tcPr>
            <w:shd w:val="clear" w:fill="FFFFFF" w:color="FFFFFF"/>
            <w:tcW w:w="1180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13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990,00</w:t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270" w:type="dxa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494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966,2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0</w:t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76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г. Подольск, Домодедовское ш. 43А</w:t>
            </w:r>
            <w:r/>
          </w:p>
        </w:tc>
      </w:tr>
    </w:tbl>
    <w:p>
      <w:r/>
      <w:r/>
    </w:p>
    <w:p>
      <w:pPr>
        <w:rPr>
          <w:u w:val="single"/>
        </w:rPr>
        <w:pBdr>
          <w:bottom w:val="single" w:sz="12" w:space="1" w:color="auto"/>
        </w:pBdr>
      </w:pPr>
      <w:r>
        <w:rPr>
          <w:u w:val="single"/>
        </w:rPr>
      </w:r>
      <w:r/>
    </w:p>
    <w:p>
      <w:pPr>
        <w:jc w:val="center"/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ИТОГО:   </w:t>
      </w:r>
      <w:r>
        <w:rPr>
          <w:rFonts w:ascii="Times New Roman" w:hAnsi="Times New Roman"/>
          <w:b/>
          <w:sz w:val="20"/>
          <w:szCs w:val="20"/>
        </w:rPr>
        <w:t xml:space="preserve">             </w:t>
      </w:r>
      <w:r>
        <w:rPr>
          <w:rFonts w:ascii="Times New Roman" w:hAnsi="Times New Roman"/>
          <w:b/>
          <w:sz w:val="20"/>
          <w:szCs w:val="20"/>
        </w:rPr>
        <w:t xml:space="preserve">405 710,00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руб.</w:t>
      </w:r>
      <w:r/>
    </w:p>
    <w:p>
      <w:pPr>
        <w:jc w:val="center"/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ИТОГО </w:t>
      </w:r>
      <w:r>
        <w:rPr>
          <w:rFonts w:ascii="Times New Roman" w:hAnsi="Times New Roman"/>
          <w:b/>
          <w:sz w:val="20"/>
          <w:szCs w:val="20"/>
        </w:rPr>
        <w:t xml:space="preserve">НДС :</w:t>
      </w:r>
      <w:r>
        <w:rPr>
          <w:rFonts w:ascii="Times New Roman" w:hAnsi="Times New Roman"/>
          <w:b/>
          <w:sz w:val="20"/>
          <w:szCs w:val="20"/>
        </w:rPr>
        <w:t xml:space="preserve">       </w:t>
      </w:r>
      <w:r>
        <w:rPr>
          <w:rFonts w:ascii="Times New Roman" w:hAnsi="Times New Roman"/>
          <w:b/>
          <w:sz w:val="20"/>
          <w:szCs w:val="20"/>
        </w:rPr>
        <w:t xml:space="preserve">89 256,20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руб.</w:t>
      </w:r>
      <w:r/>
    </w:p>
    <w:p>
      <w:pPr>
        <w:jc w:val="right"/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4"/>
        </w:rPr>
        <w:t xml:space="preserve">   </w:t>
      </w:r>
      <w:r>
        <w:rPr>
          <w:rFonts w:ascii="Times New Roman" w:hAnsi="Times New Roman"/>
          <w:b/>
          <w:sz w:val="20"/>
          <w:szCs w:val="24"/>
        </w:rPr>
        <w:t xml:space="preserve">ИТОГО с НДС 22</w:t>
      </w:r>
      <w:r>
        <w:rPr>
          <w:rFonts w:ascii="Times New Roman" w:hAnsi="Times New Roman"/>
          <w:b/>
          <w:sz w:val="20"/>
          <w:szCs w:val="24"/>
        </w:rPr>
        <w:t xml:space="preserve">%:   </w:t>
      </w:r>
      <w:r>
        <w:rPr>
          <w:rFonts w:ascii="Times New Roman" w:hAnsi="Times New Roman"/>
          <w:b/>
          <w:sz w:val="20"/>
          <w:szCs w:val="24"/>
        </w:rPr>
        <w:t xml:space="preserve">  </w:t>
      </w:r>
      <w:r>
        <w:rPr>
          <w:rFonts w:ascii="Times New Roman" w:hAnsi="Times New Roman"/>
          <w:b/>
          <w:sz w:val="20"/>
          <w:szCs w:val="24"/>
        </w:rPr>
        <w:t xml:space="preserve">494</w:t>
      </w:r>
      <w:r>
        <w:rPr>
          <w:rFonts w:ascii="Times New Roman" w:hAnsi="Times New Roman"/>
          <w:b/>
          <w:sz w:val="20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966,2</w:t>
      </w:r>
      <w:r>
        <w:rPr>
          <w:rFonts w:ascii="Times New Roman" w:hAnsi="Times New Roman"/>
          <w:b/>
          <w:sz w:val="20"/>
          <w:szCs w:val="24"/>
          <w:lang w:val="en-US"/>
        </w:rPr>
        <w:t xml:space="preserve">0</w:t>
      </w:r>
      <w:r>
        <w:rPr>
          <w:rFonts w:ascii="Times New Roman" w:hAnsi="Times New Roman"/>
          <w:b/>
          <w:bCs/>
          <w:color w:val="00000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руб</w:t>
      </w:r>
      <w:r>
        <w:rPr>
          <w:rFonts w:ascii="Times New Roman" w:hAnsi="Times New Roman"/>
          <w:b/>
          <w:sz w:val="20"/>
          <w:szCs w:val="24"/>
        </w:rPr>
        <w:t xml:space="preserve">.</w:t>
      </w:r>
      <w:r/>
    </w:p>
    <w:p>
      <w:pPr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</w:r>
      <w:r/>
    </w:p>
    <w:p>
      <w:pPr>
        <w:spacing w:after="0"/>
        <w:rPr>
          <w:rFonts w:ascii="Times New Roman" w:hAnsi="Times New Roman" w:eastAsia="Times New Roman"/>
          <w:color w:val="000000"/>
          <w:sz w:val="20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(максимальная) цена договора включает в себя: все затраты, накладные расходы, налоги, пошлины, таможенные платежи, </w:t>
      </w:r>
      <w:r>
        <w:rPr>
          <w:rFonts w:ascii="Times New Roman" w:hAnsi="Times New Roman"/>
          <w:sz w:val="24"/>
          <w:szCs w:val="24"/>
        </w:rPr>
        <w:t xml:space="preserve">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pStyle w:val="827"/>
        <w:jc w:val="left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827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Дополнительные требования</w:t>
      </w:r>
      <w:r/>
    </w:p>
    <w:p>
      <w:pPr>
        <w:jc w:val="both"/>
        <w:spacing w:after="0"/>
        <w:tabs>
          <w:tab w:val="num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Товар должен быть новым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полностью соответствовать заявленн</w:t>
      </w:r>
      <w:r>
        <w:rPr>
          <w:rFonts w:ascii="Times New Roman" w:hAnsi="Times New Roman"/>
          <w:sz w:val="24"/>
          <w:szCs w:val="24"/>
        </w:rPr>
        <w:t xml:space="preserve">ому товару по </w:t>
      </w:r>
      <w:r>
        <w:rPr>
          <w:rFonts w:ascii="Times New Roman" w:hAnsi="Times New Roman"/>
          <w:sz w:val="24"/>
          <w:szCs w:val="24"/>
        </w:rPr>
        <w:t xml:space="preserve">техническим</w:t>
      </w:r>
      <w:r>
        <w:rPr>
          <w:rFonts w:ascii="Times New Roman" w:hAnsi="Times New Roman"/>
          <w:sz w:val="24"/>
          <w:szCs w:val="24"/>
        </w:rPr>
        <w:t xml:space="preserve"> характеристикам.</w:t>
      </w:r>
      <w:r/>
    </w:p>
    <w:p>
      <w:pPr>
        <w:jc w:val="both"/>
        <w:spacing w:after="0"/>
        <w:tabs>
          <w:tab w:val="num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Товар должен быть заводского изготовления согласно ГОСТам, ТУ, поставлен с приложением </w:t>
      </w:r>
      <w:r>
        <w:rPr>
          <w:rFonts w:ascii="Times New Roman" w:hAnsi="Times New Roman"/>
          <w:sz w:val="24"/>
          <w:szCs w:val="24"/>
        </w:rPr>
        <w:t xml:space="preserve">заверенных</w:t>
      </w:r>
      <w:r>
        <w:rPr>
          <w:rFonts w:ascii="Times New Roman" w:hAnsi="Times New Roman"/>
          <w:sz w:val="24"/>
          <w:szCs w:val="24"/>
        </w:rPr>
        <w:t xml:space="preserve"> документов, подтверждающих качество товара (паспортов, сертификатов).</w:t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Гарантийный срок хранения и гарантийная наработка в пределах гарантийного   срока изготовителя товара - в соответствии с ГОСТами и ТУ на конкретный товар.</w:t>
      </w:r>
      <w:r/>
    </w:p>
    <w:p>
      <w:pPr>
        <w:jc w:val="both"/>
        <w:spacing w:after="0"/>
        <w:rPr>
          <w:rFonts w:ascii="Times New Roman CYR" w:hAnsi="Times New Roman CYR" w:cs="Times New Roman CYR" w:eastAsia="Calibri"/>
          <w:color w:val="000000"/>
          <w:sz w:val="24"/>
          <w:szCs w:val="24"/>
        </w:rPr>
      </w:pP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4. Поставка товара долж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на быть осуществлена в течении 2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 часов с момента запроса товара в связи с проведением срочных ремонтных работ. </w:t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5. Запрос на поставку товара может быть осуществлен в любое время в период до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31.0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9.202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  <w:lang w:val="en-US"/>
        </w:rPr>
        <w:t xml:space="preserve">6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г.</w:t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827"/>
        <w:jc w:val="left"/>
        <w:rPr>
          <w:sz w:val="24"/>
        </w:rPr>
      </w:pPr>
      <w:r>
        <w:rPr>
          <w:sz w:val="24"/>
        </w:rPr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Начальник ОИТ 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филиала ПАО "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Московский регион"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Южные электрические 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  <w:t xml:space="preserve">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Д.В. Дыкин</w:t>
      </w:r>
      <w:r/>
    </w:p>
    <w:p>
      <w:pPr>
        <w:jc w:val="both"/>
        <w:spacing w:after="0"/>
        <w:tabs>
          <w:tab w:val="left" w:pos="7740" w:leader="none"/>
        </w:tabs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</w:r>
      <w:r/>
    </w:p>
    <w:sectPr>
      <w:footnotePr/>
      <w:end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Arial (WT)">
    <w:panose1 w:val="020B060402020202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rFonts w:hint="default"/>
        <w:b w:val="false"/>
        <w:i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0">
    <w:name w:val="Heading 1"/>
    <w:basedOn w:val="823"/>
    <w:next w:val="823"/>
    <w:link w:val="65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51">
    <w:name w:val="Heading 1 Char"/>
    <w:basedOn w:val="824"/>
    <w:link w:val="650"/>
    <w:uiPriority w:val="9"/>
    <w:rPr>
      <w:rFonts w:ascii="Arial" w:hAnsi="Arial" w:cs="Arial" w:eastAsia="Arial"/>
      <w:sz w:val="40"/>
      <w:szCs w:val="40"/>
    </w:rPr>
  </w:style>
  <w:style w:type="paragraph" w:styleId="652">
    <w:name w:val="Heading 2"/>
    <w:basedOn w:val="823"/>
    <w:next w:val="823"/>
    <w:link w:val="65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53">
    <w:name w:val="Heading 2 Char"/>
    <w:basedOn w:val="824"/>
    <w:link w:val="652"/>
    <w:uiPriority w:val="9"/>
    <w:rPr>
      <w:rFonts w:ascii="Arial" w:hAnsi="Arial" w:cs="Arial" w:eastAsia="Arial"/>
      <w:sz w:val="34"/>
    </w:rPr>
  </w:style>
  <w:style w:type="paragraph" w:styleId="654">
    <w:name w:val="Heading 3"/>
    <w:basedOn w:val="823"/>
    <w:next w:val="823"/>
    <w:link w:val="65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5">
    <w:name w:val="Heading 3 Char"/>
    <w:basedOn w:val="824"/>
    <w:link w:val="654"/>
    <w:uiPriority w:val="9"/>
    <w:rPr>
      <w:rFonts w:ascii="Arial" w:hAnsi="Arial" w:cs="Arial" w:eastAsia="Arial"/>
      <w:sz w:val="30"/>
      <w:szCs w:val="30"/>
    </w:rPr>
  </w:style>
  <w:style w:type="paragraph" w:styleId="656">
    <w:name w:val="Heading 4"/>
    <w:basedOn w:val="823"/>
    <w:next w:val="823"/>
    <w:link w:val="65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7">
    <w:name w:val="Heading 4 Char"/>
    <w:basedOn w:val="824"/>
    <w:link w:val="656"/>
    <w:uiPriority w:val="9"/>
    <w:rPr>
      <w:rFonts w:ascii="Arial" w:hAnsi="Arial" w:cs="Arial" w:eastAsia="Arial"/>
      <w:b/>
      <w:bCs/>
      <w:sz w:val="26"/>
      <w:szCs w:val="26"/>
    </w:rPr>
  </w:style>
  <w:style w:type="paragraph" w:styleId="658">
    <w:name w:val="Heading 5"/>
    <w:basedOn w:val="823"/>
    <w:next w:val="823"/>
    <w:link w:val="65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9">
    <w:name w:val="Heading 5 Char"/>
    <w:basedOn w:val="824"/>
    <w:link w:val="658"/>
    <w:uiPriority w:val="9"/>
    <w:rPr>
      <w:rFonts w:ascii="Arial" w:hAnsi="Arial" w:cs="Arial" w:eastAsia="Arial"/>
      <w:b/>
      <w:bCs/>
      <w:sz w:val="24"/>
      <w:szCs w:val="24"/>
    </w:rPr>
  </w:style>
  <w:style w:type="paragraph" w:styleId="660">
    <w:name w:val="Heading 6"/>
    <w:basedOn w:val="823"/>
    <w:next w:val="823"/>
    <w:link w:val="66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61">
    <w:name w:val="Heading 6 Char"/>
    <w:basedOn w:val="824"/>
    <w:link w:val="660"/>
    <w:uiPriority w:val="9"/>
    <w:rPr>
      <w:rFonts w:ascii="Arial" w:hAnsi="Arial" w:cs="Arial" w:eastAsia="Arial"/>
      <w:b/>
      <w:bCs/>
      <w:sz w:val="22"/>
      <w:szCs w:val="22"/>
    </w:rPr>
  </w:style>
  <w:style w:type="paragraph" w:styleId="662">
    <w:name w:val="Heading 7"/>
    <w:basedOn w:val="823"/>
    <w:next w:val="823"/>
    <w:link w:val="66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63">
    <w:name w:val="Heading 7 Char"/>
    <w:basedOn w:val="824"/>
    <w:link w:val="66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4">
    <w:name w:val="Heading 8"/>
    <w:basedOn w:val="823"/>
    <w:next w:val="823"/>
    <w:link w:val="66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5">
    <w:name w:val="Heading 8 Char"/>
    <w:basedOn w:val="824"/>
    <w:link w:val="664"/>
    <w:uiPriority w:val="9"/>
    <w:rPr>
      <w:rFonts w:ascii="Arial" w:hAnsi="Arial" w:cs="Arial" w:eastAsia="Arial"/>
      <w:i/>
      <w:iCs/>
      <w:sz w:val="22"/>
      <w:szCs w:val="22"/>
    </w:rPr>
  </w:style>
  <w:style w:type="paragraph" w:styleId="666">
    <w:name w:val="Heading 9"/>
    <w:basedOn w:val="823"/>
    <w:next w:val="823"/>
    <w:link w:val="66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7">
    <w:name w:val="Heading 9 Char"/>
    <w:basedOn w:val="824"/>
    <w:link w:val="666"/>
    <w:uiPriority w:val="9"/>
    <w:rPr>
      <w:rFonts w:ascii="Arial" w:hAnsi="Arial" w:cs="Arial" w:eastAsia="Arial"/>
      <w:i/>
      <w:iCs/>
      <w:sz w:val="21"/>
      <w:szCs w:val="21"/>
    </w:rPr>
  </w:style>
  <w:style w:type="paragraph" w:styleId="668">
    <w:name w:val="Title"/>
    <w:basedOn w:val="823"/>
    <w:next w:val="823"/>
    <w:link w:val="66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9">
    <w:name w:val="Title Char"/>
    <w:basedOn w:val="824"/>
    <w:link w:val="668"/>
    <w:uiPriority w:val="10"/>
    <w:rPr>
      <w:sz w:val="48"/>
      <w:szCs w:val="48"/>
    </w:rPr>
  </w:style>
  <w:style w:type="paragraph" w:styleId="670">
    <w:name w:val="Subtitle"/>
    <w:basedOn w:val="823"/>
    <w:next w:val="823"/>
    <w:link w:val="671"/>
    <w:qFormat/>
    <w:uiPriority w:val="11"/>
    <w:rPr>
      <w:sz w:val="24"/>
      <w:szCs w:val="24"/>
    </w:rPr>
    <w:pPr>
      <w:spacing w:after="200" w:before="200"/>
    </w:pPr>
  </w:style>
  <w:style w:type="character" w:styleId="671">
    <w:name w:val="Subtitle Char"/>
    <w:basedOn w:val="824"/>
    <w:link w:val="670"/>
    <w:uiPriority w:val="11"/>
    <w:rPr>
      <w:sz w:val="24"/>
      <w:szCs w:val="24"/>
    </w:rPr>
  </w:style>
  <w:style w:type="paragraph" w:styleId="672">
    <w:name w:val="Quote"/>
    <w:basedOn w:val="823"/>
    <w:next w:val="823"/>
    <w:link w:val="673"/>
    <w:qFormat/>
    <w:uiPriority w:val="29"/>
    <w:rPr>
      <w:i/>
    </w:rPr>
    <w:pPr>
      <w:ind w:left="720" w:right="720"/>
    </w:p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3"/>
    <w:next w:val="823"/>
    <w:link w:val="675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5">
    <w:name w:val="Intense Quote Char"/>
    <w:link w:val="674"/>
    <w:uiPriority w:val="30"/>
    <w:rPr>
      <w:i/>
    </w:rPr>
  </w:style>
  <w:style w:type="character" w:styleId="676">
    <w:name w:val="Header Char"/>
    <w:basedOn w:val="824"/>
    <w:link w:val="831"/>
    <w:uiPriority w:val="99"/>
  </w:style>
  <w:style w:type="character" w:styleId="677">
    <w:name w:val="Footer Char"/>
    <w:basedOn w:val="824"/>
    <w:link w:val="833"/>
    <w:uiPriority w:val="99"/>
  </w:style>
  <w:style w:type="paragraph" w:styleId="678">
    <w:name w:val="Caption"/>
    <w:basedOn w:val="823"/>
    <w:next w:val="823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9">
    <w:name w:val="Caption Char"/>
    <w:basedOn w:val="678"/>
    <w:link w:val="833"/>
    <w:uiPriority w:val="99"/>
  </w:style>
  <w:style w:type="table" w:styleId="680">
    <w:name w:val="Table Grid"/>
    <w:basedOn w:val="825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Table Grid Light"/>
    <w:basedOn w:val="82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Plain Table 1"/>
    <w:basedOn w:val="82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3">
    <w:name w:val="Plain Table 2"/>
    <w:basedOn w:val="825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5">
    <w:name w:val="Plain Table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Plain Table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7">
    <w:name w:val="Grid Table 1 Light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2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2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2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3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3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4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9">
    <w:name w:val="Grid Table 4 - Accent 1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10">
    <w:name w:val="Grid Table 4 - Accent 2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11">
    <w:name w:val="Grid Table 4 - Accent 3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2">
    <w:name w:val="Grid Table 4 - Accent 4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3">
    <w:name w:val="Grid Table 4 - Accent 5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4">
    <w:name w:val="Grid Table 4 - Accent 6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5">
    <w:name w:val="Grid Table 5 Dark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16">
    <w:name w:val="Grid Table 5 Dark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17">
    <w:name w:val="Grid Table 5 Dark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18">
    <w:name w:val="Grid Table 5 Dark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19">
    <w:name w:val="Grid Table 5 Dark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20">
    <w:name w:val="Grid Table 5 Dark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21">
    <w:name w:val="Grid Table 5 Dark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22">
    <w:name w:val="Grid Table 6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3">
    <w:name w:val="Grid Table 6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4">
    <w:name w:val="Grid Table 6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5">
    <w:name w:val="Grid Table 6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6">
    <w:name w:val="Grid Table 6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7">
    <w:name w:val="Grid Table 6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8">
    <w:name w:val="Grid Table 6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7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7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7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7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List Table 1 Light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List Table 1 Light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List Table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4">
    <w:name w:val="List Table 2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5">
    <w:name w:val="List Table 2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6">
    <w:name w:val="List Table 2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7">
    <w:name w:val="List Table 2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8">
    <w:name w:val="List Table 2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9">
    <w:name w:val="List Table 2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50">
    <w:name w:val="List Table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5 Dark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6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2">
    <w:name w:val="List Table 6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3">
    <w:name w:val="List Table 6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4">
    <w:name w:val="List Table 6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5">
    <w:name w:val="List Table 6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6">
    <w:name w:val="List Table 6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7">
    <w:name w:val="List Table 6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8">
    <w:name w:val="List Table 7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9">
    <w:name w:val="List Table 7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0">
    <w:name w:val="List Table 7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1">
    <w:name w:val="List Table 7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2">
    <w:name w:val="List Table 7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3">
    <w:name w:val="List Table 7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4">
    <w:name w:val="List Table 7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5">
    <w:name w:val="Lined - Accent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6">
    <w:name w:val="Lined - Accent 1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87">
    <w:name w:val="Lined - Accent 2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88">
    <w:name w:val="Lined - Accent 3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89">
    <w:name w:val="Lined - Accent 4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0">
    <w:name w:val="Lined - Accent 5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1">
    <w:name w:val="Lined - Accent 6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2">
    <w:name w:val="Bordered &amp; Lined - Accent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93">
    <w:name w:val="Bordered &amp; Lined - Accent 1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94">
    <w:name w:val="Bordered &amp; Lined - Accent 2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95">
    <w:name w:val="Bordered &amp; Lined - Accent 3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96">
    <w:name w:val="Bordered &amp; Lined - Accent 4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7">
    <w:name w:val="Bordered &amp; Lined - Accent 5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8">
    <w:name w:val="Bordered &amp; Lined - Accent 6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9">
    <w:name w:val="Bordered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00">
    <w:name w:val="Bordered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01">
    <w:name w:val="Bordered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2">
    <w:name w:val="Bordered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3">
    <w:name w:val="Bordered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4">
    <w:name w:val="Bordered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5">
    <w:name w:val="Bordered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806">
    <w:name w:val="footnote text"/>
    <w:basedOn w:val="823"/>
    <w:link w:val="807"/>
    <w:uiPriority w:val="99"/>
    <w:semiHidden/>
    <w:unhideWhenUsed/>
    <w:rPr>
      <w:sz w:val="18"/>
    </w:rPr>
    <w:pPr>
      <w:spacing w:lineRule="auto" w:line="240" w:after="40"/>
    </w:pPr>
  </w:style>
  <w:style w:type="character" w:styleId="807">
    <w:name w:val="Footnote Text Char"/>
    <w:link w:val="806"/>
    <w:uiPriority w:val="99"/>
    <w:rPr>
      <w:sz w:val="18"/>
    </w:rPr>
  </w:style>
  <w:style w:type="character" w:styleId="808">
    <w:name w:val="footnote reference"/>
    <w:basedOn w:val="824"/>
    <w:uiPriority w:val="99"/>
    <w:unhideWhenUsed/>
    <w:rPr>
      <w:vertAlign w:val="superscript"/>
    </w:rPr>
  </w:style>
  <w:style w:type="paragraph" w:styleId="809">
    <w:name w:val="endnote text"/>
    <w:basedOn w:val="823"/>
    <w:link w:val="810"/>
    <w:uiPriority w:val="99"/>
    <w:semiHidden/>
    <w:unhideWhenUsed/>
    <w:rPr>
      <w:sz w:val="20"/>
    </w:rPr>
    <w:pPr>
      <w:spacing w:lineRule="auto" w:line="240" w:after="0"/>
    </w:pPr>
  </w:style>
  <w:style w:type="character" w:styleId="810">
    <w:name w:val="Endnote Text Char"/>
    <w:link w:val="809"/>
    <w:uiPriority w:val="99"/>
    <w:rPr>
      <w:sz w:val="20"/>
    </w:rPr>
  </w:style>
  <w:style w:type="character" w:styleId="811">
    <w:name w:val="endnote reference"/>
    <w:basedOn w:val="824"/>
    <w:uiPriority w:val="99"/>
    <w:semiHidden/>
    <w:unhideWhenUsed/>
    <w:rPr>
      <w:vertAlign w:val="superscript"/>
    </w:rPr>
  </w:style>
  <w:style w:type="paragraph" w:styleId="812">
    <w:name w:val="toc 1"/>
    <w:basedOn w:val="823"/>
    <w:next w:val="823"/>
    <w:uiPriority w:val="39"/>
    <w:unhideWhenUsed/>
    <w:pPr>
      <w:ind w:left="0" w:right="0" w:firstLine="0"/>
      <w:spacing w:after="57"/>
    </w:pPr>
  </w:style>
  <w:style w:type="paragraph" w:styleId="813">
    <w:name w:val="toc 2"/>
    <w:basedOn w:val="823"/>
    <w:next w:val="823"/>
    <w:uiPriority w:val="39"/>
    <w:unhideWhenUsed/>
    <w:pPr>
      <w:ind w:left="283" w:right="0" w:firstLine="0"/>
      <w:spacing w:after="57"/>
    </w:pPr>
  </w:style>
  <w:style w:type="paragraph" w:styleId="814">
    <w:name w:val="toc 3"/>
    <w:basedOn w:val="823"/>
    <w:next w:val="823"/>
    <w:uiPriority w:val="39"/>
    <w:unhideWhenUsed/>
    <w:pPr>
      <w:ind w:left="567" w:right="0" w:firstLine="0"/>
      <w:spacing w:after="57"/>
    </w:pPr>
  </w:style>
  <w:style w:type="paragraph" w:styleId="815">
    <w:name w:val="toc 4"/>
    <w:basedOn w:val="823"/>
    <w:next w:val="823"/>
    <w:uiPriority w:val="39"/>
    <w:unhideWhenUsed/>
    <w:pPr>
      <w:ind w:left="850" w:right="0" w:firstLine="0"/>
      <w:spacing w:after="57"/>
    </w:pPr>
  </w:style>
  <w:style w:type="paragraph" w:styleId="816">
    <w:name w:val="toc 5"/>
    <w:basedOn w:val="823"/>
    <w:next w:val="823"/>
    <w:uiPriority w:val="39"/>
    <w:unhideWhenUsed/>
    <w:pPr>
      <w:ind w:left="1134" w:right="0" w:firstLine="0"/>
      <w:spacing w:after="57"/>
    </w:pPr>
  </w:style>
  <w:style w:type="paragraph" w:styleId="817">
    <w:name w:val="toc 6"/>
    <w:basedOn w:val="823"/>
    <w:next w:val="823"/>
    <w:uiPriority w:val="39"/>
    <w:unhideWhenUsed/>
    <w:pPr>
      <w:ind w:left="1417" w:right="0" w:firstLine="0"/>
      <w:spacing w:after="57"/>
    </w:pPr>
  </w:style>
  <w:style w:type="paragraph" w:styleId="818">
    <w:name w:val="toc 7"/>
    <w:basedOn w:val="823"/>
    <w:next w:val="823"/>
    <w:uiPriority w:val="39"/>
    <w:unhideWhenUsed/>
    <w:pPr>
      <w:ind w:left="1701" w:right="0" w:firstLine="0"/>
      <w:spacing w:after="57"/>
    </w:pPr>
  </w:style>
  <w:style w:type="paragraph" w:styleId="819">
    <w:name w:val="toc 8"/>
    <w:basedOn w:val="823"/>
    <w:next w:val="823"/>
    <w:uiPriority w:val="39"/>
    <w:unhideWhenUsed/>
    <w:pPr>
      <w:ind w:left="1984" w:right="0" w:firstLine="0"/>
      <w:spacing w:after="57"/>
    </w:pPr>
  </w:style>
  <w:style w:type="paragraph" w:styleId="820">
    <w:name w:val="toc 9"/>
    <w:basedOn w:val="823"/>
    <w:next w:val="823"/>
    <w:uiPriority w:val="39"/>
    <w:unhideWhenUsed/>
    <w:pPr>
      <w:ind w:left="2268" w:right="0" w:firstLine="0"/>
      <w:spacing w:after="57"/>
    </w:pPr>
  </w:style>
  <w:style w:type="paragraph" w:styleId="821">
    <w:name w:val="TOC Heading"/>
    <w:uiPriority w:val="39"/>
    <w:unhideWhenUsed/>
  </w:style>
  <w:style w:type="paragraph" w:styleId="822">
    <w:name w:val="table of figures"/>
    <w:basedOn w:val="823"/>
    <w:next w:val="823"/>
    <w:uiPriority w:val="99"/>
    <w:unhideWhenUsed/>
    <w:pPr>
      <w:spacing w:after="0" w:afterAutospacing="0"/>
    </w:pPr>
  </w:style>
  <w:style w:type="paragraph" w:styleId="823" w:default="1">
    <w:name w:val="Normal"/>
    <w:qFormat/>
    <w:rPr>
      <w:rFonts w:ascii="Calibri" w:hAnsi="Calibri" w:cs="Times New Roman" w:eastAsia="Calibri"/>
    </w:rPr>
    <w:pPr>
      <w:spacing w:lineRule="auto" w:line="276" w:after="200"/>
    </w:pPr>
  </w:style>
  <w:style w:type="character" w:styleId="824" w:default="1">
    <w:name w:val="Default Paragraph Font"/>
    <w:uiPriority w:val="1"/>
    <w:semiHidden/>
    <w:unhideWhenUsed/>
  </w:style>
  <w:style w:type="table" w:styleId="8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6" w:default="1">
    <w:name w:val="No List"/>
    <w:uiPriority w:val="99"/>
    <w:semiHidden/>
    <w:unhideWhenUsed/>
  </w:style>
  <w:style w:type="paragraph" w:styleId="827">
    <w:name w:val="No Spacing"/>
    <w:qFormat/>
    <w:uiPriority w:val="1"/>
    <w:rPr>
      <w:rFonts w:ascii="Times New Roman" w:hAnsi="Times New Roman" w:cs="Times New Roman" w:eastAsia="Times New Roman"/>
      <w:sz w:val="28"/>
      <w:szCs w:val="28"/>
      <w:lang w:eastAsia="ru-RU"/>
    </w:rPr>
    <w:pPr>
      <w:ind w:firstLine="567"/>
      <w:jc w:val="both"/>
      <w:spacing w:lineRule="auto" w:line="240" w:after="0"/>
    </w:pPr>
  </w:style>
  <w:style w:type="paragraph" w:styleId="828">
    <w:name w:val="Balloon Text"/>
    <w:basedOn w:val="823"/>
    <w:link w:val="829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829" w:customStyle="1">
    <w:name w:val="Текст выноски Знак"/>
    <w:basedOn w:val="824"/>
    <w:link w:val="828"/>
    <w:uiPriority w:val="99"/>
    <w:semiHidden/>
    <w:rPr>
      <w:rFonts w:ascii="Tahoma" w:hAnsi="Tahoma" w:cs="Tahoma" w:eastAsia="Calibri"/>
      <w:sz w:val="16"/>
      <w:szCs w:val="16"/>
    </w:rPr>
  </w:style>
  <w:style w:type="paragraph" w:styleId="830">
    <w:name w:val="List Paragraph"/>
    <w:basedOn w:val="823"/>
    <w:qFormat/>
    <w:uiPriority w:val="34"/>
    <w:pPr>
      <w:contextualSpacing w:val="true"/>
      <w:ind w:left="720"/>
    </w:pPr>
  </w:style>
  <w:style w:type="paragraph" w:styleId="831">
    <w:name w:val="Header"/>
    <w:basedOn w:val="823"/>
    <w:link w:val="832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2" w:customStyle="1">
    <w:name w:val="Верхний колонтитул Знак"/>
    <w:basedOn w:val="824"/>
    <w:link w:val="831"/>
    <w:uiPriority w:val="99"/>
    <w:rPr>
      <w:rFonts w:ascii="Calibri" w:hAnsi="Calibri" w:cs="Times New Roman" w:eastAsia="Calibri"/>
    </w:rPr>
  </w:style>
  <w:style w:type="paragraph" w:styleId="833">
    <w:name w:val="Footer"/>
    <w:basedOn w:val="823"/>
    <w:link w:val="834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4" w:customStyle="1">
    <w:name w:val="Нижний колонтитул Знак"/>
    <w:basedOn w:val="824"/>
    <w:link w:val="833"/>
    <w:uiPriority w:val="99"/>
    <w:rPr>
      <w:rFonts w:ascii="Calibri" w:hAnsi="Calibri" w:cs="Times New Roman" w:eastAsia="Calibri"/>
    </w:rPr>
  </w:style>
  <w:style w:type="character" w:styleId="835">
    <w:name w:val="Hyperlink"/>
    <w:basedOn w:val="824"/>
    <w:uiPriority w:val="99"/>
    <w:unhideWhenUsed/>
    <w:rPr>
      <w:strike w:val="false"/>
      <w:color w:val="337AB7"/>
      <w:u w:val="none"/>
      <w:shd w:val="clear" w:color="auto" w:fill="auto"/>
    </w:rPr>
  </w:style>
  <w:style w:type="paragraph" w:styleId="836">
    <w:name w:val="Normal (Web)"/>
    <w:basedOn w:val="823"/>
    <w:uiPriority w:val="99"/>
    <w:unhideWhenUsed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50"/>
    </w:pPr>
  </w:style>
  <w:style w:type="paragraph" w:styleId="837">
    <w:name w:val="List Number"/>
    <w:basedOn w:val="823"/>
    <w:uiPriority w:val="99"/>
    <w:rPr>
      <w:rFonts w:ascii="Times New Roman" w:hAnsi="Times New Roman" w:eastAsia="Times New Roman"/>
      <w:sz w:val="28"/>
      <w:szCs w:val="28"/>
      <w:lang w:eastAsia="ru-RU"/>
    </w:rPr>
    <w:pPr>
      <w:jc w:val="both"/>
      <w:spacing w:lineRule="auto" w:line="360" w:after="0" w:before="60"/>
    </w:pPr>
  </w:style>
  <w:style w:type="paragraph" w:styleId="838" w:customStyle="1">
    <w:name w:val="Ариал"/>
    <w:basedOn w:val="823"/>
    <w:link w:val="839"/>
    <w:rPr>
      <w:rFonts w:ascii="Arial" w:hAnsi="Arial" w:eastAsia="Times New Roman"/>
      <w:sz w:val="24"/>
      <w:szCs w:val="24"/>
    </w:rPr>
    <w:pPr>
      <w:ind w:firstLine="851"/>
      <w:jc w:val="both"/>
      <w:spacing w:lineRule="auto" w:line="360" w:after="120" w:before="120"/>
    </w:pPr>
  </w:style>
  <w:style w:type="character" w:styleId="839" w:customStyle="1">
    <w:name w:val="Ариал Знак1"/>
    <w:link w:val="838"/>
    <w:rPr>
      <w:rFonts w:ascii="Arial" w:hAnsi="Arial" w:cs="Times New Roman" w:eastAsia="Times New Roman"/>
      <w:sz w:val="24"/>
      <w:szCs w:val="24"/>
    </w:rPr>
  </w:style>
  <w:style w:type="paragraph" w:styleId="840" w:customStyle="1">
    <w:name w:val="Times 12"/>
    <w:basedOn w:val="823"/>
    <w:rPr>
      <w:rFonts w:ascii="Times New Roman" w:hAnsi="Times New Roman" w:eastAsia="Times New Roman"/>
      <w:bCs/>
      <w:sz w:val="24"/>
      <w:lang w:eastAsia="ru-RU"/>
    </w:rPr>
    <w:pPr>
      <w:ind w:firstLine="567"/>
      <w:jc w:val="both"/>
      <w:spacing w:lineRule="auto" w:line="240" w:after="0"/>
    </w:pPr>
  </w:style>
  <w:style w:type="paragraph" w:styleId="841" w:customStyle="1">
    <w:name w:val="ConsPlusNormal"/>
    <w:rPr>
      <w:rFonts w:ascii="Arial" w:hAnsi="Arial" w:cs="Arial" w:eastAsia="Arial"/>
      <w:sz w:val="20"/>
      <w:szCs w:val="20"/>
      <w:lang w:eastAsia="ar-SA"/>
    </w:rPr>
    <w:pPr>
      <w:ind w:firstLine="720"/>
      <w:spacing w:lineRule="auto" w:line="240" w:after="0"/>
      <w:widowControl w:val="off"/>
    </w:pPr>
  </w:style>
  <w:style w:type="paragraph" w:styleId="842" w:customStyle="1">
    <w:name w:val="ConsPlusNonformat"/>
    <w:rPr>
      <w:rFonts w:ascii="Arial (WT)" w:hAnsi="Arial (WT)" w:cs="Arial (WT)" w:eastAsia="Times New Roman"/>
      <w:sz w:val="20"/>
      <w:szCs w:val="20"/>
      <w:lang w:eastAsia="ru-RU"/>
    </w:rPr>
    <w:pPr>
      <w:spacing w:lineRule="auto" w:line="240" w:after="0"/>
      <w:widowControl w:val="off"/>
    </w:pPr>
  </w:style>
  <w:style w:type="character" w:styleId="843">
    <w:name w:val="FollowedHyperlink"/>
    <w:basedOn w:val="824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Демехина Ирина Николаевна</dc:creator>
  <cp:keywords/>
  <dc:description/>
  <cp:revision>19</cp:revision>
  <dcterms:created xsi:type="dcterms:W3CDTF">2025-02-12T07:18:00Z</dcterms:created>
  <dcterms:modified xsi:type="dcterms:W3CDTF">2026-07-28T11:45:55Z</dcterms:modified>
</cp:coreProperties>
</file>